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99" w:rsidRDefault="00737F43" w:rsidP="00737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43">
        <w:rPr>
          <w:rFonts w:ascii="Times New Roman" w:hAnsi="Times New Roman" w:cs="Times New Roman"/>
          <w:b/>
          <w:sz w:val="24"/>
          <w:szCs w:val="24"/>
        </w:rPr>
        <w:t>Zápis z pracovního jednání členů ZM</w:t>
      </w:r>
    </w:p>
    <w:p w:rsidR="00737F43" w:rsidRPr="00737F43" w:rsidRDefault="00737F43" w:rsidP="00737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43" w:rsidRPr="00C4741B" w:rsidRDefault="00737F43" w:rsidP="00737F43">
      <w:pPr>
        <w:spacing w:after="0" w:line="240" w:lineRule="auto"/>
        <w:jc w:val="both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 w:rsidRPr="00786AE5">
        <w:rPr>
          <w:rFonts w:ascii="Times New Roman" w:hAnsi="Times New Roman" w:cs="Times New Roman"/>
          <w:sz w:val="24"/>
          <w:szCs w:val="24"/>
        </w:rPr>
        <w:t>Téma:</w:t>
      </w: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návrh OZV o stanovení míst a času, ve kterém mohou být provozovány loterie a jiné podobné hry na území města Ostrov </w:t>
      </w:r>
    </w:p>
    <w:p w:rsidR="00737F43" w:rsidRPr="00C4741B" w:rsidRDefault="00786AE5" w:rsidP="00737F43">
      <w:pPr>
        <w:spacing w:after="0" w:line="240" w:lineRule="auto"/>
        <w:jc w:val="both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Datum, </w:t>
      </w:r>
      <w:r w:rsidR="00737F43" w:rsidRPr="00786AE5">
        <w:rPr>
          <w:rFonts w:ascii="Times New Roman" w:hAnsi="Times New Roman" w:cs="Times New Roman"/>
          <w:sz w:val="24"/>
          <w:szCs w:val="24"/>
        </w:rPr>
        <w:t>místo</w:t>
      </w:r>
      <w:r>
        <w:rPr>
          <w:rFonts w:ascii="Times New Roman" w:hAnsi="Times New Roman" w:cs="Times New Roman"/>
          <w:sz w:val="24"/>
          <w:szCs w:val="24"/>
        </w:rPr>
        <w:t>, čas</w:t>
      </w:r>
      <w:r w:rsidR="00737F43" w:rsidRPr="00786AE5">
        <w:rPr>
          <w:rFonts w:ascii="Times New Roman" w:hAnsi="Times New Roman" w:cs="Times New Roman"/>
          <w:sz w:val="24"/>
          <w:szCs w:val="24"/>
        </w:rPr>
        <w:t>:</w:t>
      </w:r>
      <w:r w:rsidR="00737F43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09.02.2015, MěÚ Ostrov</w:t>
      </w: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(zámek)</w:t>
      </w:r>
      <w:r w:rsidR="00737F43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, zastupitelský sál</w:t>
      </w: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, 16:00 h. </w:t>
      </w:r>
    </w:p>
    <w:p w:rsidR="00737F43" w:rsidRPr="00C4741B" w:rsidRDefault="00737F43" w:rsidP="00737F43">
      <w:pPr>
        <w:spacing w:after="0" w:line="240" w:lineRule="auto"/>
        <w:ind w:left="2694" w:hanging="2694"/>
        <w:jc w:val="both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členové ZM – Bc. Pavel Čekan, Ing. Josef Železný, Milan Matějka, Pavlína Lišková, Mgr. Libor Bílek, Ilona Leupold, </w:t>
      </w:r>
      <w:r w:rsidR="00C4741B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Petr Kalousek</w:t>
      </w: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, Ing. Petr Nedvěd</w:t>
      </w:r>
      <w:r w:rsidR="00786AE5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, </w:t>
      </w:r>
      <w:r w:rsidR="00C4741B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František Macháň</w:t>
      </w:r>
      <w:r w:rsidR="00786AE5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, Ing. Vladimír Palivec, MUDr. Petr Pavelka, Ing. Marek Poledn</w:t>
      </w:r>
      <w:r w:rsidR="00C4741B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íček</w:t>
      </w:r>
      <w:r w:rsidR="006B4F3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(příchod v </w:t>
      </w:r>
      <w:r w:rsidR="00675E34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17:10 h.)</w:t>
      </w:r>
      <w:r w:rsidR="0009564D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,</w:t>
      </w:r>
      <w:r w:rsidR="00C4741B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Ivan Vysocký,</w:t>
      </w:r>
      <w:r w:rsidR="00786AE5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Mgr. Petr Šindelář, LL.M.</w:t>
      </w:r>
    </w:p>
    <w:p w:rsidR="00786AE5" w:rsidRPr="00C4741B" w:rsidRDefault="00786AE5" w:rsidP="00786AE5">
      <w:pPr>
        <w:spacing w:after="0" w:line="240" w:lineRule="auto"/>
        <w:jc w:val="both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             velitel MP Ostrov Ladislav Martínek, vedoucí OO </w:t>
      </w:r>
      <w:r w:rsidR="00C4741B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Ostrov PČR </w:t>
      </w: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Mgr. Martin Filip</w:t>
      </w:r>
    </w:p>
    <w:p w:rsidR="00786AE5" w:rsidRPr="00C4741B" w:rsidRDefault="00786AE5" w:rsidP="00737F43">
      <w:pPr>
        <w:spacing w:after="0" w:line="240" w:lineRule="auto"/>
        <w:ind w:left="2694" w:hanging="2694"/>
        <w:jc w:val="both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             pracovníci MěÚ – Ing.</w:t>
      </w:r>
      <w:r w:rsidR="0099488C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Jana Punčochářová (taj.</w:t>
      </w: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), Mgr. Lucie Mildorfová (OKS), </w:t>
      </w:r>
      <w:r w:rsidR="0099488C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br/>
      </w: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Ing. Alena Niklová, Ph.D. (OF)</w:t>
      </w:r>
      <w:r w:rsidR="0099488C"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, Helena Turková (IA)</w:t>
      </w:r>
    </w:p>
    <w:p w:rsidR="00786AE5" w:rsidRPr="00C4741B" w:rsidRDefault="00786AE5" w:rsidP="00737F43">
      <w:pPr>
        <w:spacing w:after="0" w:line="240" w:lineRule="auto"/>
        <w:ind w:left="2694" w:hanging="2694"/>
        <w:jc w:val="both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 w:rsidRPr="00786AE5">
        <w:rPr>
          <w:rFonts w:ascii="Times New Roman" w:hAnsi="Times New Roman" w:cs="Times New Roman"/>
          <w:sz w:val="24"/>
          <w:szCs w:val="24"/>
        </w:rPr>
        <w:t xml:space="preserve">Omluveni: </w:t>
      </w: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členové ZM – Ing. Jan Bureš, Walburga Mikešová, RNDr. František Wohlmuth</w:t>
      </w:r>
    </w:p>
    <w:p w:rsidR="00786AE5" w:rsidRPr="00C4741B" w:rsidRDefault="00786AE5" w:rsidP="00737F43">
      <w:pPr>
        <w:spacing w:after="0" w:line="240" w:lineRule="auto"/>
        <w:ind w:left="2694" w:hanging="2694"/>
        <w:jc w:val="both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 w:rsidRPr="00C4741B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                pracovnice MěÚ (OF) – Taťána Gangurová</w:t>
      </w:r>
    </w:p>
    <w:p w:rsidR="00B37424" w:rsidRDefault="00B37424" w:rsidP="00737F43">
      <w:pPr>
        <w:spacing w:after="0" w:line="240" w:lineRule="auto"/>
        <w:ind w:left="2694" w:hanging="269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7424" w:rsidRPr="00776037" w:rsidRDefault="00B37424" w:rsidP="00060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6037">
        <w:rPr>
          <w:rFonts w:ascii="Times New Roman" w:hAnsi="Times New Roman" w:cs="Times New Roman"/>
          <w:b/>
          <w:sz w:val="24"/>
          <w:szCs w:val="24"/>
          <w:highlight w:val="lightGray"/>
        </w:rPr>
        <w:t>Stávající situace</w:t>
      </w:r>
      <w:r w:rsidR="0077603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v Ostrově</w:t>
      </w:r>
    </w:p>
    <w:p w:rsidR="00B37424" w:rsidRPr="00DF5BAD" w:rsidRDefault="00B37424" w:rsidP="00B3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AD">
        <w:rPr>
          <w:rFonts w:ascii="Times New Roman" w:hAnsi="Times New Roman" w:cs="Times New Roman"/>
          <w:sz w:val="24"/>
          <w:szCs w:val="24"/>
        </w:rPr>
        <w:t>Město Ostrov má platné, resp. účinné 2 OZV:</w:t>
      </w:r>
    </w:p>
    <w:p w:rsidR="00B37424" w:rsidRDefault="00B37424" w:rsidP="00DF5BA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AD">
        <w:rPr>
          <w:rFonts w:ascii="Times New Roman" w:hAnsi="Times New Roman" w:cs="Times New Roman"/>
          <w:sz w:val="24"/>
          <w:szCs w:val="24"/>
        </w:rPr>
        <w:t xml:space="preserve">OZV č. </w:t>
      </w:r>
      <w:r w:rsidR="00DF5BAD" w:rsidRPr="00DF5BAD">
        <w:rPr>
          <w:rFonts w:ascii="Times New Roman" w:hAnsi="Times New Roman" w:cs="Times New Roman"/>
          <w:sz w:val="24"/>
          <w:szCs w:val="24"/>
        </w:rPr>
        <w:t>4/2003, o lokalizaci míst a časovému omezení provozu povolených výherních hracích přístrojů</w:t>
      </w:r>
      <w:r w:rsidR="00DF5BAD">
        <w:rPr>
          <w:rFonts w:ascii="Times New Roman" w:hAnsi="Times New Roman" w:cs="Times New Roman"/>
          <w:sz w:val="24"/>
          <w:szCs w:val="24"/>
        </w:rPr>
        <w:t>, která nabyla účinnosti dne 01.01.2004</w:t>
      </w:r>
    </w:p>
    <w:p w:rsidR="00DF5BAD" w:rsidRDefault="00977034" w:rsidP="0097703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F5BAD">
        <w:rPr>
          <w:rFonts w:ascii="Times New Roman" w:hAnsi="Times New Roman" w:cs="Times New Roman"/>
          <w:sz w:val="24"/>
          <w:szCs w:val="24"/>
        </w:rPr>
        <w:t xml:space="preserve">OZV č. 4/2005, kterou se mění obecně závazná vyhláška č. 1/2004, o místním poplatku za užívání veřejného prostranství a obecně závazná vyhláška č. 4/2003, </w:t>
      </w:r>
      <w:r w:rsidR="00DF5BAD">
        <w:rPr>
          <w:rFonts w:ascii="Times New Roman" w:hAnsi="Times New Roman" w:cs="Times New Roman"/>
          <w:sz w:val="24"/>
          <w:szCs w:val="24"/>
        </w:rPr>
        <w:br/>
        <w:t>o lokalizaci míst a časovému omezení provozu výherních hracích přístrojů, která nabyla účinnosti dne 15.04.2005</w:t>
      </w:r>
    </w:p>
    <w:p w:rsidR="00DF5BAD" w:rsidRDefault="00977034" w:rsidP="00DF5BA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F5BAD">
        <w:rPr>
          <w:rFonts w:ascii="Times New Roman" w:hAnsi="Times New Roman" w:cs="Times New Roman"/>
          <w:sz w:val="24"/>
          <w:szCs w:val="24"/>
        </w:rPr>
        <w:t xml:space="preserve">roblematická lokalita se </w:t>
      </w:r>
      <w:r w:rsidR="00DF5BAD" w:rsidRPr="00977034">
        <w:rPr>
          <w:rFonts w:ascii="Times New Roman" w:hAnsi="Times New Roman" w:cs="Times New Roman"/>
          <w:sz w:val="24"/>
          <w:szCs w:val="24"/>
        </w:rPr>
        <w:t>z hlediska delšího monitorování</w:t>
      </w:r>
      <w:r w:rsidR="00E46075" w:rsidRPr="00977034">
        <w:rPr>
          <w:rFonts w:ascii="Times New Roman" w:hAnsi="Times New Roman" w:cs="Times New Roman"/>
          <w:sz w:val="24"/>
          <w:szCs w:val="24"/>
        </w:rPr>
        <w:t xml:space="preserve"> MP a PČR</w:t>
      </w:r>
      <w:r w:rsidR="00DF5BAD" w:rsidRPr="00977034">
        <w:rPr>
          <w:rFonts w:ascii="Times New Roman" w:hAnsi="Times New Roman" w:cs="Times New Roman"/>
          <w:sz w:val="24"/>
          <w:szCs w:val="24"/>
        </w:rPr>
        <w:t xml:space="preserve"> jeví „Herna 9999“, Májová 1207, Ostrov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7034" w:rsidRDefault="00977034" w:rsidP="00DF5BA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34">
        <w:rPr>
          <w:rFonts w:ascii="Times New Roman" w:hAnsi="Times New Roman" w:cs="Times New Roman"/>
          <w:sz w:val="24"/>
          <w:szCs w:val="24"/>
        </w:rPr>
        <w:t>provozování VHP</w:t>
      </w:r>
      <w:r w:rsidR="00B8761F">
        <w:rPr>
          <w:rFonts w:ascii="Times New Roman" w:hAnsi="Times New Roman" w:cs="Times New Roman"/>
          <w:sz w:val="24"/>
          <w:szCs w:val="24"/>
        </w:rPr>
        <w:t xml:space="preserve"> a IVT v Ostrově</w:t>
      </w:r>
      <w:r w:rsidRPr="00977034">
        <w:rPr>
          <w:rFonts w:ascii="Times New Roman" w:hAnsi="Times New Roman" w:cs="Times New Roman"/>
          <w:sz w:val="24"/>
          <w:szCs w:val="24"/>
        </w:rPr>
        <w:t xml:space="preserve"> nemá zdaleka takový </w:t>
      </w:r>
      <w:r w:rsidR="00B8761F">
        <w:rPr>
          <w:rFonts w:ascii="Times New Roman" w:hAnsi="Times New Roman" w:cs="Times New Roman"/>
          <w:sz w:val="24"/>
          <w:szCs w:val="24"/>
        </w:rPr>
        <w:t xml:space="preserve">společenský, sociální </w:t>
      </w:r>
      <w:r w:rsidR="00B8761F">
        <w:rPr>
          <w:rFonts w:ascii="Times New Roman" w:hAnsi="Times New Roman" w:cs="Times New Roman"/>
          <w:sz w:val="24"/>
          <w:szCs w:val="24"/>
        </w:rPr>
        <w:br/>
        <w:t xml:space="preserve">a ekonomický dopad, </w:t>
      </w:r>
      <w:r w:rsidRPr="00977034">
        <w:rPr>
          <w:rFonts w:ascii="Times New Roman" w:hAnsi="Times New Roman" w:cs="Times New Roman"/>
          <w:sz w:val="24"/>
          <w:szCs w:val="24"/>
        </w:rPr>
        <w:t>jak se obecně předpokládá (pa</w:t>
      </w:r>
      <w:bookmarkStart w:id="0" w:name="_GoBack"/>
      <w:bookmarkEnd w:id="0"/>
      <w:r w:rsidRPr="00977034">
        <w:rPr>
          <w:rFonts w:ascii="Times New Roman" w:hAnsi="Times New Roman" w:cs="Times New Roman"/>
          <w:sz w:val="24"/>
          <w:szCs w:val="24"/>
        </w:rPr>
        <w:t>lčivějším problémem je distribuce a užívání drog a požívání alkoholu)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7034" w:rsidRDefault="00977034" w:rsidP="00DF5BA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1F">
        <w:rPr>
          <w:rFonts w:ascii="Times New Roman" w:hAnsi="Times New Roman" w:cs="Times New Roman"/>
          <w:sz w:val="24"/>
          <w:szCs w:val="24"/>
        </w:rPr>
        <w:t>p</w:t>
      </w:r>
      <w:r w:rsidR="00B8761F" w:rsidRPr="00B8761F">
        <w:rPr>
          <w:rFonts w:ascii="Times New Roman" w:hAnsi="Times New Roman" w:cs="Times New Roman"/>
          <w:sz w:val="24"/>
          <w:szCs w:val="24"/>
        </w:rPr>
        <w:t>říjmy z hazardu do rozpočtu městanejsou zanedbatelné</w:t>
      </w:r>
      <w:r w:rsidR="00C4741B">
        <w:rPr>
          <w:rFonts w:ascii="Times New Roman" w:hAnsi="Times New Roman" w:cs="Times New Roman"/>
          <w:sz w:val="24"/>
          <w:szCs w:val="24"/>
        </w:rPr>
        <w:t xml:space="preserve"> (za rok 2014 cca </w:t>
      </w:r>
      <w:r w:rsidR="00296E25">
        <w:rPr>
          <w:rFonts w:ascii="Times New Roman" w:hAnsi="Times New Roman" w:cs="Times New Roman"/>
          <w:sz w:val="24"/>
          <w:szCs w:val="24"/>
        </w:rPr>
        <w:t>7.500</w:t>
      </w:r>
      <w:r w:rsidR="00C4741B">
        <w:rPr>
          <w:rFonts w:ascii="Times New Roman" w:hAnsi="Times New Roman" w:cs="Times New Roman"/>
          <w:sz w:val="24"/>
          <w:szCs w:val="24"/>
        </w:rPr>
        <w:t xml:space="preserve"> tis. Kč)</w:t>
      </w:r>
      <w:r w:rsidR="00B8761F" w:rsidRPr="00B8761F">
        <w:rPr>
          <w:rFonts w:ascii="Times New Roman" w:hAnsi="Times New Roman" w:cs="Times New Roman"/>
          <w:sz w:val="24"/>
          <w:szCs w:val="24"/>
        </w:rPr>
        <w:t xml:space="preserve">, z těchto </w:t>
      </w:r>
      <w:r w:rsidR="00776037">
        <w:rPr>
          <w:rFonts w:ascii="Times New Roman" w:hAnsi="Times New Roman" w:cs="Times New Roman"/>
          <w:sz w:val="24"/>
          <w:szCs w:val="24"/>
        </w:rPr>
        <w:t>pro</w:t>
      </w:r>
      <w:r w:rsidR="00B8761F" w:rsidRPr="00B8761F">
        <w:rPr>
          <w:rFonts w:ascii="Times New Roman" w:hAnsi="Times New Roman" w:cs="Times New Roman"/>
          <w:sz w:val="24"/>
          <w:szCs w:val="24"/>
        </w:rPr>
        <w:t>středků se podporují neziskové organizace působící v oblasti sportu, kultury, sociálních služeb, zdravotnictví</w:t>
      </w:r>
      <w:r w:rsidR="00776037">
        <w:rPr>
          <w:rFonts w:ascii="Times New Roman" w:hAnsi="Times New Roman" w:cs="Times New Roman"/>
          <w:sz w:val="24"/>
          <w:szCs w:val="24"/>
        </w:rPr>
        <w:t>;</w:t>
      </w:r>
    </w:p>
    <w:p w:rsidR="004B7700" w:rsidRDefault="00776037" w:rsidP="00DF5BA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současná legislativa řeší příjmy z VHP a IVT prostřednictvím příslušného FÚ podle sídla firmy, FÚ následně vypočítá příslušný odvod a ten je zasílán na účet města, nelze tedy detailně zjistit příjmy za jednotlivé IVT – eviduje MF; </w:t>
      </w:r>
    </w:p>
    <w:p w:rsidR="00B8761F" w:rsidRPr="004B7700" w:rsidRDefault="004B7700" w:rsidP="00DF5BA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00">
        <w:rPr>
          <w:rFonts w:ascii="Times New Roman" w:hAnsi="Times New Roman" w:cs="Times New Roman"/>
          <w:b/>
          <w:sz w:val="24"/>
          <w:szCs w:val="24"/>
        </w:rPr>
        <w:t>obce s účinností od 01.01.2012 pozbyly oprávnění zavést a následně vybírat na svém území místní poplatek dle ust. § 10a zákona o místních poplatcích; od 01.01.2012 tedy již obce nejsou oprávněny zpoplatnit provoz žádných VHP</w:t>
      </w:r>
      <w:r w:rsidR="00542D98">
        <w:rPr>
          <w:rFonts w:ascii="Times New Roman" w:hAnsi="Times New Roman" w:cs="Times New Roman"/>
          <w:b/>
          <w:sz w:val="24"/>
          <w:szCs w:val="24"/>
        </w:rPr>
        <w:t>.</w:t>
      </w:r>
    </w:p>
    <w:p w:rsidR="00977034" w:rsidRPr="004B7700" w:rsidRDefault="00977034" w:rsidP="004B77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BAD" w:rsidRDefault="00DF5BAD" w:rsidP="00DF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BAD" w:rsidRDefault="00DF5BAD" w:rsidP="00DF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F" w:rsidRDefault="00B8761F" w:rsidP="00DF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F" w:rsidRDefault="00B8761F" w:rsidP="00DF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F" w:rsidRDefault="00B8761F" w:rsidP="00DF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F" w:rsidRDefault="00B8761F" w:rsidP="00DF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F" w:rsidRDefault="00B8761F" w:rsidP="00DF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F" w:rsidRDefault="00B8761F" w:rsidP="00DF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F" w:rsidRDefault="00B8761F" w:rsidP="00DF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F" w:rsidRDefault="00B8761F" w:rsidP="00DF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BAD" w:rsidRPr="00060E6B" w:rsidRDefault="00DF5BAD" w:rsidP="00060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060E6B">
        <w:rPr>
          <w:rFonts w:ascii="Times New Roman" w:hAnsi="Times New Roman" w:cs="Times New Roman"/>
          <w:b/>
          <w:sz w:val="24"/>
          <w:szCs w:val="24"/>
          <w:highlight w:val="lightGray"/>
        </w:rPr>
        <w:t>Statistické údaje z důvodové zprávy MF, návrh zákona o dani z hazardních her</w:t>
      </w: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3899"/>
        <w:gridCol w:w="1836"/>
        <w:gridCol w:w="1695"/>
        <w:gridCol w:w="1642"/>
      </w:tblGrid>
      <w:tr w:rsidR="00347B25" w:rsidRPr="008A7684" w:rsidTr="003B2AD4">
        <w:trPr>
          <w:trHeight w:val="435"/>
        </w:trPr>
        <w:tc>
          <w:tcPr>
            <w:tcW w:w="2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B25" w:rsidRDefault="00347B25" w:rsidP="003B2AD4">
            <w:pPr>
              <w:keepNext/>
              <w:rPr>
                <w:rFonts w:cs="Times New Roman"/>
                <w:bCs/>
                <w:sz w:val="20"/>
                <w:szCs w:val="20"/>
                <w:u w:val="single"/>
              </w:rPr>
            </w:pPr>
          </w:p>
          <w:p w:rsidR="00B8761F" w:rsidRPr="00DF5BAD" w:rsidRDefault="00B8761F" w:rsidP="003B2AD4">
            <w:pPr>
              <w:keepNext/>
              <w:rPr>
                <w:rFonts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8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B25" w:rsidRPr="008A7684" w:rsidRDefault="00347B25" w:rsidP="003B2AD4">
            <w:pPr>
              <w:keepNext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Agregátní data 2013 (v Kč)</w:t>
            </w:r>
          </w:p>
        </w:tc>
      </w:tr>
      <w:tr w:rsidR="00347B25" w:rsidRPr="008A7684" w:rsidTr="008A7684">
        <w:trPr>
          <w:trHeight w:val="330"/>
        </w:trPr>
        <w:tc>
          <w:tcPr>
            <w:tcW w:w="21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Vloženo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Vyplaceno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Příjmy ze hry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Peněžité a věcné loterie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34 749 330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14 522 123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20 227 207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Číselné loterie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7 183 084 792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3 813 607 140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3 369 477 652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Okamžité loterie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1 066 976 039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599 347 796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467 628 243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LOTERIE CELKEM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8 284 810 161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4 427 477 059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3 857 333 102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Totalizátorové hry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10 682 346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7 359 384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3 322 962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Kursové sázky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6 564 428 347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4 995 570 224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1 568 858 123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Dostihy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25 688 492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16 663 043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9 025 449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Internetová kurzová sázka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22 460 120 421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19 967 974 913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2 492 145 508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KURSOVÉ SÁZKY CELKEM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29 060 919 606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24 987 567 564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4 073 352 042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Bingo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28 636 080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20 045 256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8 590 824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BINGO CELKEM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28 636 080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20 045 256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8 590 824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Sázkové hry provozované v kasinu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7 140 619 380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5 720 970 439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1 419 648 941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Karetní turnaje v kasinu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983 313 499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917 272 120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66 041 379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ŽIVÉ HRY CELKEM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8 123 932 879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6 638 242 559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1 485 690 320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Tomboly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4 943 778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2 384 402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2 559 376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TOMBOLY CELKEM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4 943 778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2 384 402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2 559 376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Kostky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48 972 274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33 809 535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15 162 739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Výherní hrací přístroje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14 615 645 737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12 015 026 923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2 600 618 814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Interaktivní videoloter</w:t>
            </w:r>
            <w:r w:rsidR="008A7684" w:rsidRPr="008A7684">
              <w:rPr>
                <w:rFonts w:cs="Times New Roman"/>
                <w:b/>
                <w:bCs/>
                <w:sz w:val="20"/>
                <w:szCs w:val="20"/>
              </w:rPr>
              <w:t>ij</w:t>
            </w:r>
            <w:r w:rsidRPr="008A7684">
              <w:rPr>
                <w:rFonts w:cs="Times New Roman"/>
                <w:b/>
                <w:bCs/>
                <w:sz w:val="20"/>
                <w:szCs w:val="20"/>
              </w:rPr>
              <w:t>ní terminály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51 414 067 420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37 330 662 805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14 083 404 615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Interaktivní karetní turnaje nebo hry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111 016 811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98 481 031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12 535 780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Lokální loterní systémy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4 770 380 069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3 508 275 649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1 262 104 420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Elektromechanické rulety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7 403 153 864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6 239 833 401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1 163 320 463</w:t>
            </w:r>
          </w:p>
        </w:tc>
      </w:tr>
      <w:tr w:rsidR="00347B25" w:rsidRPr="008A7684" w:rsidTr="008A7684">
        <w:trPr>
          <w:trHeight w:val="375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Ostatní loterie a sázkové hry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31 395 782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22 773 210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sz w:val="20"/>
                <w:szCs w:val="20"/>
              </w:rPr>
            </w:pPr>
            <w:r w:rsidRPr="008A7684">
              <w:rPr>
                <w:rFonts w:cs="Times New Roman"/>
                <w:sz w:val="20"/>
                <w:szCs w:val="20"/>
              </w:rPr>
              <w:t>8 622 572</w:t>
            </w:r>
          </w:p>
        </w:tc>
      </w:tr>
      <w:tr w:rsidR="00347B25" w:rsidRPr="008A7684" w:rsidTr="008A7684">
        <w:trPr>
          <w:trHeight w:val="390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TECHNICKÉ HRY CELKEM</w:t>
            </w:r>
          </w:p>
        </w:tc>
        <w:tc>
          <w:tcPr>
            <w:tcW w:w="10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78 394 631 957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59 248 862 554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19 145 769 403</w:t>
            </w:r>
          </w:p>
        </w:tc>
      </w:tr>
      <w:tr w:rsidR="00347B25" w:rsidRPr="008A7684" w:rsidTr="008A7684">
        <w:trPr>
          <w:trHeight w:val="330"/>
        </w:trPr>
        <w:tc>
          <w:tcPr>
            <w:tcW w:w="2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7B25" w:rsidRPr="008A7684" w:rsidRDefault="00347B25" w:rsidP="003B2AD4">
            <w:pPr>
              <w:keepNext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123 897 874 461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95 324 579 394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7B25" w:rsidRPr="008A7684" w:rsidRDefault="00347B25" w:rsidP="003B2AD4">
            <w:pPr>
              <w:keepNext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A7684">
              <w:rPr>
                <w:rFonts w:cs="Times New Roman"/>
                <w:b/>
                <w:bCs/>
                <w:sz w:val="20"/>
                <w:szCs w:val="20"/>
              </w:rPr>
              <w:t>28 573 295 067</w:t>
            </w:r>
          </w:p>
        </w:tc>
      </w:tr>
    </w:tbl>
    <w:p w:rsidR="00347B25" w:rsidRDefault="00347B25" w:rsidP="00347B25">
      <w:pPr>
        <w:spacing w:before="120"/>
        <w:jc w:val="both"/>
        <w:rPr>
          <w:rFonts w:cs="Times New Roman"/>
          <w:sz w:val="20"/>
          <w:szCs w:val="20"/>
        </w:rPr>
      </w:pPr>
      <w:r w:rsidRPr="008A7684">
        <w:rPr>
          <w:rFonts w:cs="Times New Roman"/>
          <w:color w:val="000000"/>
          <w:sz w:val="20"/>
          <w:szCs w:val="20"/>
        </w:rPr>
        <w:lastRenderedPageBreak/>
        <w:t>Zdroj: Ministerstvo financí – D</w:t>
      </w:r>
      <w:r w:rsidRPr="008A7684">
        <w:rPr>
          <w:rFonts w:cs="Times New Roman"/>
          <w:sz w:val="20"/>
          <w:szCs w:val="20"/>
        </w:rPr>
        <w:t xml:space="preserve">ata jsou veřejně přístupná na webových stránkách Ministerstva financí; </w:t>
      </w:r>
      <w:hyperlink r:id="rId8" w:history="1">
        <w:r w:rsidR="00DF5BAD" w:rsidRPr="00240C60">
          <w:rPr>
            <w:rStyle w:val="Hypertextovodkaz"/>
            <w:rFonts w:cs="Times New Roman"/>
            <w:sz w:val="20"/>
            <w:szCs w:val="20"/>
          </w:rPr>
          <w:t>http://www.mfcr.cz/cs/soukromy-sektor/monitoring/vysledky-z-provozovani-oterii/2013/hodnoceni-vysledku-provozovani-loterii-18429</w:t>
        </w:r>
      </w:hyperlink>
    </w:p>
    <w:p w:rsidR="00347B25" w:rsidRDefault="008A7684" w:rsidP="00D5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8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98543" cy="3183147"/>
            <wp:effectExtent l="95250" t="57150" r="59307" b="17253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761F" w:rsidRPr="002D4FDE" w:rsidRDefault="00B8761F" w:rsidP="00B8761F">
      <w:pPr>
        <w:spacing w:before="120"/>
        <w:ind w:right="141"/>
        <w:jc w:val="both"/>
        <w:rPr>
          <w:color w:val="000000"/>
        </w:rPr>
      </w:pPr>
      <w:r w:rsidRPr="002D4FDE">
        <w:rPr>
          <w:color w:val="000000"/>
        </w:rPr>
        <w:t>Zdroj: Ministerstv</w:t>
      </w:r>
      <w:r>
        <w:rPr>
          <w:color w:val="000000"/>
        </w:rPr>
        <w:t>o</w:t>
      </w:r>
      <w:r w:rsidRPr="002D4FDE">
        <w:rPr>
          <w:color w:val="000000"/>
        </w:rPr>
        <w:t xml:space="preserve"> financí</w:t>
      </w:r>
    </w:p>
    <w:p w:rsidR="00B8761F" w:rsidRDefault="00541349" w:rsidP="00D5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4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36895" cy="3382645"/>
            <wp:effectExtent l="76200" t="76200" r="97155" b="84455"/>
            <wp:docPr id="2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1349" w:rsidRPr="002D4FDE" w:rsidRDefault="00541349" w:rsidP="00541349">
      <w:pPr>
        <w:spacing w:before="120"/>
        <w:ind w:right="141"/>
        <w:jc w:val="both"/>
        <w:rPr>
          <w:color w:val="000000"/>
        </w:rPr>
      </w:pPr>
      <w:r w:rsidRPr="002D4FDE">
        <w:rPr>
          <w:color w:val="000000"/>
        </w:rPr>
        <w:t>Zdroj: Ministerstv</w:t>
      </w:r>
      <w:r>
        <w:rPr>
          <w:color w:val="000000"/>
        </w:rPr>
        <w:t>o</w:t>
      </w:r>
      <w:r w:rsidRPr="002D4FDE">
        <w:rPr>
          <w:color w:val="000000"/>
        </w:rPr>
        <w:t xml:space="preserve"> financí</w:t>
      </w:r>
    </w:p>
    <w:p w:rsidR="00541349" w:rsidRDefault="00541349" w:rsidP="00D5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49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684807" cy="3657600"/>
            <wp:effectExtent l="57150" t="57150" r="49530" b="38100"/>
            <wp:docPr id="3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349" w:rsidRPr="002D4FDE" w:rsidRDefault="00541349" w:rsidP="00541349">
      <w:pPr>
        <w:spacing w:before="120"/>
        <w:ind w:right="141"/>
        <w:jc w:val="both"/>
        <w:rPr>
          <w:color w:val="000000"/>
        </w:rPr>
      </w:pPr>
      <w:r w:rsidRPr="002D4FDE">
        <w:rPr>
          <w:color w:val="000000"/>
        </w:rPr>
        <w:t>Zdroj: Ministerstv</w:t>
      </w:r>
      <w:r>
        <w:rPr>
          <w:color w:val="000000"/>
        </w:rPr>
        <w:t>o</w:t>
      </w:r>
      <w:r w:rsidRPr="002D4FDE">
        <w:rPr>
          <w:color w:val="000000"/>
        </w:rPr>
        <w:t xml:space="preserve"> financí</w:t>
      </w:r>
    </w:p>
    <w:p w:rsidR="008A7684" w:rsidRDefault="00B37424" w:rsidP="00D5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</w:t>
      </w:r>
      <w:r w:rsidR="008A7684">
        <w:rPr>
          <w:rFonts w:ascii="Times New Roman" w:hAnsi="Times New Roman" w:cs="Times New Roman"/>
          <w:sz w:val="24"/>
          <w:szCs w:val="24"/>
        </w:rPr>
        <w:t xml:space="preserve"> předložilo do vnějšího připomínkového řízení návrh zákona o dani z hazardních her </w:t>
      </w:r>
      <w:r>
        <w:rPr>
          <w:rFonts w:ascii="Times New Roman" w:hAnsi="Times New Roman" w:cs="Times New Roman"/>
          <w:sz w:val="24"/>
          <w:szCs w:val="24"/>
        </w:rPr>
        <w:br/>
      </w:r>
      <w:r w:rsidR="008A7684">
        <w:rPr>
          <w:rFonts w:ascii="Times New Roman" w:hAnsi="Times New Roman" w:cs="Times New Roman"/>
          <w:sz w:val="24"/>
          <w:szCs w:val="24"/>
        </w:rPr>
        <w:t>a návrh zákona, kterým se mění některé zákony v souvislosti s přijetím zákonů o hazardních hrách a o dani z hazardních her. Návrh doplňuje již představený návrh zákona o hazardních hrách a spolu pak tvoří jeden celek nové komplexní právní úpravy trhu s hazardními hrami.</w:t>
      </w:r>
    </w:p>
    <w:p w:rsidR="008A7684" w:rsidRDefault="008A7684" w:rsidP="00D5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84" w:rsidRDefault="008A7684" w:rsidP="00D5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návrhu zákona je přiblížení sazeb daní z hazardu stavu v okolních zemích. Toto zdanění navýší příjmy státního rozpočtu při zachování příjmů rozpočtu obcí. M</w:t>
      </w:r>
      <w:r w:rsidR="00B37424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předpokládá, že dodatečný výnos daně z hazardních her dosáhne přibližně 5 mld. korun. Až 3 mld. </w:t>
      </w:r>
      <w:r w:rsidR="00B3742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 zmíněného výnosu by měly sloužit k podpoře sportovních aktivit mládeže, například k podpoře školních sportovních klubů či k účelové podpoře sportující mládeže v rámci tělovýchovných jednot a sportovních k</w:t>
      </w:r>
      <w:r w:rsidR="00B37424">
        <w:rPr>
          <w:rFonts w:ascii="Times New Roman" w:hAnsi="Times New Roman" w:cs="Times New Roman"/>
          <w:sz w:val="24"/>
          <w:szCs w:val="24"/>
        </w:rPr>
        <w:t xml:space="preserve">lubů. </w:t>
      </w:r>
    </w:p>
    <w:p w:rsidR="00B37424" w:rsidRDefault="00B37424" w:rsidP="00D5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424" w:rsidRDefault="00B37424" w:rsidP="00D5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MF v návrhu zákona o dani z hazardních her navrhuji tři sazby zdanění oproti původním </w:t>
      </w:r>
      <w:r>
        <w:rPr>
          <w:rFonts w:ascii="Times New Roman" w:hAnsi="Times New Roman" w:cs="Times New Roman"/>
          <w:sz w:val="24"/>
          <w:szCs w:val="24"/>
        </w:rPr>
        <w:br/>
        <w:t xml:space="preserve">20 %. V případě technické hry bude aplikována sazba daně z hazardních her ve výši 35 %. Rovněž je navrženo zvýšení pevné sazby daně u technické hry na dvojnásobek. Důvodem je snaha o zachování příjmů obcí i při očekávaném snížení počtu přístrojů a jiných technických zařízení v důsledku nové právní regulace hazardních her. Druhá sazba ve výši </w:t>
      </w:r>
      <w:r>
        <w:rPr>
          <w:rFonts w:ascii="Times New Roman" w:hAnsi="Times New Roman" w:cs="Times New Roman"/>
          <w:sz w:val="24"/>
          <w:szCs w:val="24"/>
        </w:rPr>
        <w:br/>
        <w:t xml:space="preserve">30 % se navrhuje pro živé hry, loterie a binga. Třetí sazba zdanění ve výši 25 % se bude týkat kursových sázek a tombol s úhrnem sázek od 75 tis. Kč. </w:t>
      </w:r>
    </w:p>
    <w:p w:rsidR="00B37424" w:rsidRDefault="00B37424" w:rsidP="00D5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424" w:rsidRPr="00B37424" w:rsidRDefault="00B37424" w:rsidP="00D50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24">
        <w:rPr>
          <w:rFonts w:ascii="Times New Roman" w:hAnsi="Times New Roman" w:cs="Times New Roman"/>
          <w:b/>
          <w:sz w:val="24"/>
          <w:szCs w:val="24"/>
        </w:rPr>
        <w:t xml:space="preserve">V zákoně také MF navrhuje, aby se výnos dílčí daně z technických her i nadále dělil mezi stát a obce, avšak v novém poměru 55 % ku 45 % ve prospěch státu. Dodatečných 5 mld. Kč by pak bylo příjmem státního rozpočtu a příjem obecních rozpočtů by díky vyššímu zdanění hazardu zůstal zachován. Výnos dílčích daní z ostatních her se navrhuje i nadále dělit mezi stát a obce v stávajícím poměru 70% do státního rozpočtu </w:t>
      </w:r>
      <w:r w:rsidR="00776037">
        <w:rPr>
          <w:rFonts w:ascii="Times New Roman" w:hAnsi="Times New Roman" w:cs="Times New Roman"/>
          <w:b/>
          <w:sz w:val="24"/>
          <w:szCs w:val="24"/>
        </w:rPr>
        <w:br/>
      </w:r>
      <w:r w:rsidRPr="00B37424">
        <w:rPr>
          <w:rFonts w:ascii="Times New Roman" w:hAnsi="Times New Roman" w:cs="Times New Roman"/>
          <w:b/>
          <w:sz w:val="24"/>
          <w:szCs w:val="24"/>
        </w:rPr>
        <w:t xml:space="preserve">a 30 % do rozpočtu obcí. </w:t>
      </w:r>
    </w:p>
    <w:p w:rsidR="00B37424" w:rsidRDefault="00B37424" w:rsidP="00D5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Účinnost zákonů je navrhována od 1. ledna 2016. </w:t>
      </w:r>
    </w:p>
    <w:p w:rsidR="00060E6B" w:rsidRDefault="00060E6B" w:rsidP="00060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060E6B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Návrh opatření</w:t>
      </w:r>
    </w:p>
    <w:p w:rsidR="00E46075" w:rsidRDefault="00E46075" w:rsidP="00E4607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46075">
        <w:rPr>
          <w:rFonts w:ascii="Times New Roman" w:hAnsi="Times New Roman" w:cs="Times New Roman"/>
          <w:sz w:val="24"/>
          <w:szCs w:val="24"/>
        </w:rPr>
        <w:t xml:space="preserve">ezakazovat plošně provozování </w:t>
      </w:r>
      <w:r w:rsidR="004B7700">
        <w:rPr>
          <w:rFonts w:ascii="Times New Roman" w:hAnsi="Times New Roman" w:cs="Times New Roman"/>
          <w:sz w:val="24"/>
          <w:szCs w:val="24"/>
        </w:rPr>
        <w:t xml:space="preserve">„hazardních her“ </w:t>
      </w:r>
      <w:r>
        <w:rPr>
          <w:rFonts w:ascii="Times New Roman" w:hAnsi="Times New Roman" w:cs="Times New Roman"/>
          <w:sz w:val="24"/>
          <w:szCs w:val="24"/>
        </w:rPr>
        <w:t>na území města Ostrov</w:t>
      </w:r>
      <w:r w:rsidR="004B7700">
        <w:rPr>
          <w:rFonts w:ascii="Times New Roman" w:hAnsi="Times New Roman" w:cs="Times New Roman"/>
          <w:sz w:val="24"/>
          <w:szCs w:val="24"/>
        </w:rPr>
        <w:t>;</w:t>
      </w:r>
    </w:p>
    <w:p w:rsidR="00E46075" w:rsidRPr="00E46075" w:rsidRDefault="00E46075" w:rsidP="00E4607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46075">
        <w:rPr>
          <w:rFonts w:ascii="Times New Roman" w:hAnsi="Times New Roman" w:cs="Times New Roman"/>
          <w:sz w:val="24"/>
          <w:szCs w:val="24"/>
        </w:rPr>
        <w:t>yčkat, jak se vyvine situace v Ostrově po účinnosti zákona</w:t>
      </w:r>
      <w:r w:rsidR="00A93EE4">
        <w:rPr>
          <w:rFonts w:ascii="Times New Roman" w:hAnsi="Times New Roman" w:cs="Times New Roman"/>
          <w:sz w:val="24"/>
          <w:szCs w:val="24"/>
        </w:rPr>
        <w:t xml:space="preserve"> </w:t>
      </w:r>
      <w:r w:rsidRPr="00E46075">
        <w:rPr>
          <w:rFonts w:ascii="Times New Roman" w:hAnsi="Times New Roman" w:cs="Times New Roman"/>
          <w:sz w:val="24"/>
          <w:szCs w:val="24"/>
        </w:rPr>
        <w:t xml:space="preserve">o dani z hazardních </w:t>
      </w:r>
      <w:r>
        <w:rPr>
          <w:rFonts w:ascii="Times New Roman" w:hAnsi="Times New Roman" w:cs="Times New Roman"/>
          <w:sz w:val="24"/>
          <w:szCs w:val="24"/>
        </w:rPr>
        <w:t xml:space="preserve">her </w:t>
      </w:r>
      <w:r w:rsidR="004B7700">
        <w:rPr>
          <w:rFonts w:ascii="Times New Roman" w:hAnsi="Times New Roman" w:cs="Times New Roman"/>
          <w:sz w:val="24"/>
          <w:szCs w:val="24"/>
        </w:rPr>
        <w:br/>
        <w:t xml:space="preserve">a zákona o hazardních hrách </w:t>
      </w:r>
      <w:r>
        <w:rPr>
          <w:rFonts w:ascii="Times New Roman" w:hAnsi="Times New Roman" w:cs="Times New Roman"/>
          <w:sz w:val="24"/>
          <w:szCs w:val="24"/>
        </w:rPr>
        <w:t>(po 01.01.2016)</w:t>
      </w:r>
      <w:r w:rsidR="004B7700">
        <w:rPr>
          <w:rFonts w:ascii="Times New Roman" w:hAnsi="Times New Roman" w:cs="Times New Roman"/>
          <w:sz w:val="24"/>
          <w:szCs w:val="24"/>
        </w:rPr>
        <w:t>;</w:t>
      </w:r>
    </w:p>
    <w:p w:rsidR="00060E6B" w:rsidRDefault="00060E6B" w:rsidP="00E4607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6B">
        <w:rPr>
          <w:rFonts w:ascii="Times New Roman" w:hAnsi="Times New Roman" w:cs="Times New Roman"/>
          <w:sz w:val="24"/>
          <w:szCs w:val="24"/>
        </w:rPr>
        <w:t xml:space="preserve">při zpracování </w:t>
      </w:r>
      <w:r w:rsidRPr="00A93EE4">
        <w:rPr>
          <w:rFonts w:ascii="Times New Roman" w:hAnsi="Times New Roman" w:cs="Times New Roman"/>
          <w:sz w:val="24"/>
          <w:szCs w:val="24"/>
        </w:rPr>
        <w:t xml:space="preserve">návrhu </w:t>
      </w:r>
      <w:r w:rsidR="004B7700">
        <w:rPr>
          <w:rFonts w:ascii="Times New Roman" w:hAnsi="Times New Roman" w:cs="Times New Roman"/>
          <w:i/>
          <w:sz w:val="24"/>
          <w:szCs w:val="24"/>
        </w:rPr>
        <w:t>„</w:t>
      </w:r>
      <w:r w:rsidRPr="004B7700">
        <w:rPr>
          <w:rFonts w:ascii="Times New Roman" w:hAnsi="Times New Roman" w:cs="Times New Roman"/>
          <w:i/>
          <w:sz w:val="24"/>
          <w:szCs w:val="24"/>
        </w:rPr>
        <w:t>OZV, o stanovení míst a času, ve kterém mohou být provozovány loterie a jiné podobné hry na území města Ostrov</w:t>
      </w:r>
      <w:r w:rsidR="004B7700">
        <w:rPr>
          <w:rFonts w:ascii="Times New Roman" w:hAnsi="Times New Roman" w:cs="Times New Roman"/>
          <w:i/>
          <w:sz w:val="24"/>
          <w:szCs w:val="24"/>
        </w:rPr>
        <w:t>“</w:t>
      </w:r>
      <w:r w:rsidR="00A93E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vzít v potaz </w:t>
      </w:r>
      <w:r w:rsidR="00F04164">
        <w:rPr>
          <w:rFonts w:ascii="Times New Roman" w:hAnsi="Times New Roman" w:cs="Times New Roman"/>
          <w:sz w:val="24"/>
          <w:szCs w:val="24"/>
        </w:rPr>
        <w:t xml:space="preserve">Stanovisko </w:t>
      </w:r>
      <w:r>
        <w:rPr>
          <w:rFonts w:ascii="Times New Roman" w:hAnsi="Times New Roman" w:cs="Times New Roman"/>
          <w:sz w:val="24"/>
          <w:szCs w:val="24"/>
        </w:rPr>
        <w:t>ÚOHS</w:t>
      </w:r>
      <w:r w:rsidR="00F04164">
        <w:rPr>
          <w:rFonts w:ascii="Times New Roman" w:hAnsi="Times New Roman" w:cs="Times New Roman"/>
          <w:sz w:val="24"/>
          <w:szCs w:val="24"/>
        </w:rPr>
        <w:t xml:space="preserve"> k regulaci provozu loterií a jiných podobných her obcemi ze dne 01.09.2014 – viz příloha</w:t>
      </w:r>
      <w:r w:rsidR="00A93EE4">
        <w:rPr>
          <w:rFonts w:ascii="Times New Roman" w:hAnsi="Times New Roman" w:cs="Times New Roman"/>
          <w:sz w:val="24"/>
          <w:szCs w:val="24"/>
        </w:rPr>
        <w:t xml:space="preserve"> </w:t>
      </w:r>
      <w:r w:rsidR="00E460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Mgr. P. Šindelář, LL.M.);</w:t>
      </w:r>
    </w:p>
    <w:p w:rsidR="00060E6B" w:rsidRDefault="00060E6B" w:rsidP="00542D98">
      <w:pPr>
        <w:pStyle w:val="Odstavecseseznamem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zástupci MP Ostrov a OO</w:t>
      </w:r>
      <w:r w:rsidR="00A352AA">
        <w:rPr>
          <w:rFonts w:ascii="Times New Roman" w:hAnsi="Times New Roman" w:cs="Times New Roman"/>
          <w:sz w:val="24"/>
          <w:szCs w:val="24"/>
        </w:rPr>
        <w:t xml:space="preserve"> Ostrov PČR </w:t>
      </w:r>
      <w:r>
        <w:rPr>
          <w:rFonts w:ascii="Times New Roman" w:hAnsi="Times New Roman" w:cs="Times New Roman"/>
          <w:sz w:val="24"/>
          <w:szCs w:val="24"/>
        </w:rPr>
        <w:t xml:space="preserve">doporučují (zavést povinnost) umístit do provozoven monitorovací zařízení – dohledatelné záznamy, přehled </w:t>
      </w:r>
      <w:r w:rsidR="00A352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zainteresovaných osobách v návaznosti na páchanou trestnou činnost</w:t>
      </w:r>
      <w:r w:rsidR="00E46075">
        <w:rPr>
          <w:rFonts w:ascii="Times New Roman" w:hAnsi="Times New Roman" w:cs="Times New Roman"/>
          <w:sz w:val="24"/>
          <w:szCs w:val="24"/>
        </w:rPr>
        <w:t xml:space="preserve">, inspirovat se </w:t>
      </w:r>
      <w:r w:rsidR="00E46075">
        <w:rPr>
          <w:rFonts w:ascii="Times New Roman" w:hAnsi="Times New Roman" w:cs="Times New Roman"/>
          <w:sz w:val="24"/>
          <w:szCs w:val="24"/>
        </w:rPr>
        <w:br/>
        <w:t>u města Sokolova, které zavedlo povinnost monitoringu</w:t>
      </w:r>
      <w:r w:rsidR="004B7700">
        <w:rPr>
          <w:rFonts w:ascii="Times New Roman" w:hAnsi="Times New Roman" w:cs="Times New Roman"/>
          <w:sz w:val="24"/>
          <w:szCs w:val="24"/>
        </w:rPr>
        <w:t xml:space="preserve"> – vzhledem k připravované legislativě se jedná o přechodné období, které bude trvat do konce tohoto roku – v novém zákoně je to zmíněno jako </w:t>
      </w:r>
      <w:r w:rsidR="004B7700" w:rsidRPr="004B7700">
        <w:rPr>
          <w:rFonts w:ascii="Times New Roman" w:hAnsi="Times New Roman" w:cs="Times New Roman"/>
          <w:b/>
          <w:sz w:val="24"/>
          <w:szCs w:val="24"/>
        </w:rPr>
        <w:t>povinnost</w:t>
      </w:r>
      <w:r w:rsidR="004B77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7700" w:rsidRPr="004B7700">
        <w:rPr>
          <w:rFonts w:ascii="Times New Roman" w:hAnsi="Times New Roman" w:cs="Times New Roman"/>
          <w:sz w:val="24"/>
          <w:szCs w:val="24"/>
        </w:rPr>
        <w:t>další povinností bude i charakter zkolaudované stavby</w:t>
      </w:r>
      <w:r w:rsidR="00095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(L. Martínek, Mgr. M. Filip</w:t>
      </w:r>
      <w:r w:rsidR="003221F4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E6B" w:rsidRDefault="00060E6B" w:rsidP="00E4607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účinnosti nového zákona o dani z hazardních her</w:t>
      </w:r>
      <w:r w:rsidR="004B7700">
        <w:rPr>
          <w:rFonts w:ascii="Times New Roman" w:hAnsi="Times New Roman" w:cs="Times New Roman"/>
          <w:sz w:val="24"/>
          <w:szCs w:val="24"/>
        </w:rPr>
        <w:t xml:space="preserve"> a zákona o hazardních hrách</w:t>
      </w:r>
      <w:r>
        <w:rPr>
          <w:rFonts w:ascii="Times New Roman" w:hAnsi="Times New Roman" w:cs="Times New Roman"/>
          <w:sz w:val="24"/>
          <w:szCs w:val="24"/>
        </w:rPr>
        <w:t xml:space="preserve"> zapojit do problematiky</w:t>
      </w:r>
      <w:r w:rsidR="003221F4">
        <w:rPr>
          <w:rFonts w:ascii="Times New Roman" w:hAnsi="Times New Roman" w:cs="Times New Roman"/>
          <w:sz w:val="24"/>
          <w:szCs w:val="24"/>
        </w:rPr>
        <w:t xml:space="preserve"> „právní úpravy“</w:t>
      </w:r>
      <w:r w:rsidR="004B7700">
        <w:rPr>
          <w:rFonts w:ascii="Times New Roman" w:hAnsi="Times New Roman" w:cs="Times New Roman"/>
          <w:sz w:val="24"/>
          <w:szCs w:val="24"/>
        </w:rPr>
        <w:t xml:space="preserve">hazardu </w:t>
      </w:r>
      <w:r w:rsidR="003221F4">
        <w:rPr>
          <w:rFonts w:ascii="Times New Roman" w:hAnsi="Times New Roman" w:cs="Times New Roman"/>
          <w:sz w:val="24"/>
          <w:szCs w:val="24"/>
        </w:rPr>
        <w:t xml:space="preserve">na území města Ostrov </w:t>
      </w:r>
      <w:r>
        <w:rPr>
          <w:rFonts w:ascii="Times New Roman" w:hAnsi="Times New Roman" w:cs="Times New Roman"/>
          <w:sz w:val="24"/>
          <w:szCs w:val="24"/>
        </w:rPr>
        <w:t>také majitele, provozovatele</w:t>
      </w:r>
      <w:r w:rsidR="004B7700">
        <w:rPr>
          <w:rFonts w:ascii="Times New Roman" w:hAnsi="Times New Roman" w:cs="Times New Roman"/>
          <w:sz w:val="24"/>
          <w:szCs w:val="24"/>
        </w:rPr>
        <w:t xml:space="preserve"> VHP a IVT </w:t>
      </w:r>
      <w:r w:rsidR="003221F4">
        <w:rPr>
          <w:rFonts w:ascii="Times New Roman" w:hAnsi="Times New Roman" w:cs="Times New Roman"/>
          <w:sz w:val="24"/>
          <w:szCs w:val="24"/>
        </w:rPr>
        <w:t xml:space="preserve">…je možné se inspirovat </w:t>
      </w:r>
      <w:r w:rsidR="00977034">
        <w:rPr>
          <w:rFonts w:ascii="Times New Roman" w:hAnsi="Times New Roman" w:cs="Times New Roman"/>
          <w:sz w:val="24"/>
          <w:szCs w:val="24"/>
        </w:rPr>
        <w:t>„memorandem“</w:t>
      </w:r>
      <w:r w:rsidR="003221F4">
        <w:rPr>
          <w:rFonts w:ascii="Times New Roman" w:hAnsi="Times New Roman" w:cs="Times New Roman"/>
          <w:sz w:val="24"/>
          <w:szCs w:val="24"/>
        </w:rPr>
        <w:t xml:space="preserve">, které bylo uzavřeno v Karlových Varech (Bc. P. Čekan); </w:t>
      </w:r>
    </w:p>
    <w:p w:rsidR="003221F4" w:rsidRDefault="003221F4" w:rsidP="00E4607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zvýšená kontrolní činnost MP a spolupráce s úřadem práce v termínech vyplácení sociálních dávek, příp. omezení (zkrácení</w:t>
      </w:r>
      <w:r w:rsidR="00BD0D40">
        <w:rPr>
          <w:rFonts w:ascii="Times New Roman" w:hAnsi="Times New Roman" w:cs="Times New Roman"/>
          <w:sz w:val="24"/>
          <w:szCs w:val="24"/>
        </w:rPr>
        <w:t>, resp. zákaz her v dopoledních hodinách</w:t>
      </w:r>
      <w:r>
        <w:rPr>
          <w:rFonts w:ascii="Times New Roman" w:hAnsi="Times New Roman" w:cs="Times New Roman"/>
          <w:sz w:val="24"/>
          <w:szCs w:val="24"/>
        </w:rPr>
        <w:t xml:space="preserve">) doby, kdy </w:t>
      </w:r>
      <w:r w:rsidR="004B7700">
        <w:rPr>
          <w:rFonts w:ascii="Times New Roman" w:hAnsi="Times New Roman" w:cs="Times New Roman"/>
          <w:sz w:val="24"/>
          <w:szCs w:val="24"/>
        </w:rPr>
        <w:t xml:space="preserve">mohou být hazardní hry </w:t>
      </w:r>
      <w:r>
        <w:rPr>
          <w:rFonts w:ascii="Times New Roman" w:hAnsi="Times New Roman" w:cs="Times New Roman"/>
          <w:sz w:val="24"/>
          <w:szCs w:val="24"/>
        </w:rPr>
        <w:t>provozovány (Ing. V. Palivec)</w:t>
      </w:r>
      <w:r w:rsidR="00B8761F">
        <w:rPr>
          <w:rFonts w:ascii="Times New Roman" w:hAnsi="Times New Roman" w:cs="Times New Roman"/>
          <w:sz w:val="24"/>
          <w:szCs w:val="24"/>
        </w:rPr>
        <w:t>;</w:t>
      </w:r>
    </w:p>
    <w:p w:rsidR="00977034" w:rsidRDefault="00977034" w:rsidP="00E4607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zohlednit v návrhu OZV sjednocení času provozování VHP a IVT </w:t>
      </w:r>
      <w:r w:rsidR="00B8761F">
        <w:rPr>
          <w:rFonts w:ascii="Times New Roman" w:hAnsi="Times New Roman" w:cs="Times New Roman"/>
          <w:sz w:val="24"/>
          <w:szCs w:val="24"/>
        </w:rPr>
        <w:br/>
        <w:t>(Ing. M. Poledníček).</w:t>
      </w:r>
    </w:p>
    <w:p w:rsidR="00542D98" w:rsidRDefault="00542D98" w:rsidP="00542D98">
      <w:pPr>
        <w:pStyle w:val="Odstavecseseznamem"/>
        <w:spacing w:after="0" w:line="240" w:lineRule="auto"/>
        <w:ind w:left="719"/>
        <w:jc w:val="both"/>
        <w:rPr>
          <w:rFonts w:ascii="Times New Roman" w:hAnsi="Times New Roman" w:cs="Times New Roman"/>
          <w:sz w:val="24"/>
          <w:szCs w:val="24"/>
        </w:rPr>
      </w:pPr>
    </w:p>
    <w:p w:rsidR="00A93EE4" w:rsidRDefault="00A93EE4" w:rsidP="00542D98">
      <w:pPr>
        <w:pStyle w:val="Odstavecseseznamem"/>
        <w:spacing w:after="0" w:line="240" w:lineRule="auto"/>
        <w:ind w:left="719"/>
        <w:jc w:val="both"/>
        <w:rPr>
          <w:rFonts w:ascii="Times New Roman" w:hAnsi="Times New Roman" w:cs="Times New Roman"/>
          <w:sz w:val="24"/>
          <w:szCs w:val="24"/>
        </w:rPr>
      </w:pPr>
    </w:p>
    <w:p w:rsidR="00542D98" w:rsidRPr="00542D98" w:rsidRDefault="00A93EE4" w:rsidP="00A93EE4">
      <w:pPr>
        <w:pStyle w:val="paragraf"/>
        <w:spacing w:before="0"/>
        <w:ind w:left="720"/>
        <w:jc w:val="left"/>
        <w:rPr>
          <w:b/>
        </w:rPr>
      </w:pPr>
      <w:r>
        <w:t xml:space="preserve">Pozn. </w:t>
      </w:r>
      <w:r w:rsidR="00542D98">
        <w:t>z</w:t>
      </w:r>
      <w:r w:rsidR="0009564D">
        <w:t> připravované legislativy</w:t>
      </w:r>
      <w:r w:rsidR="00542D98">
        <w:t xml:space="preserve">: </w:t>
      </w:r>
    </w:p>
    <w:p w:rsidR="00542D98" w:rsidRDefault="00542D98" w:rsidP="00A93EE4">
      <w:pPr>
        <w:pStyle w:val="paragraf"/>
        <w:numPr>
          <w:ilvl w:val="0"/>
          <w:numId w:val="12"/>
        </w:numPr>
        <w:spacing w:before="0"/>
        <w:jc w:val="left"/>
        <w:rPr>
          <w:rStyle w:val="tituleknadpisu"/>
        </w:rPr>
      </w:pPr>
      <w:r>
        <w:t>ust. § 11 připravovaného zákona o hazardních hrách:</w:t>
      </w:r>
    </w:p>
    <w:p w:rsidR="00542D98" w:rsidRPr="00542D98" w:rsidRDefault="00542D98" w:rsidP="00542D98">
      <w:pPr>
        <w:pStyle w:val="odstavec"/>
        <w:spacing w:before="0"/>
        <w:ind w:left="720" w:firstLine="0"/>
        <w:rPr>
          <w:i/>
        </w:rPr>
      </w:pPr>
      <w:r w:rsidRPr="00542D98">
        <w:rPr>
          <w:i/>
        </w:rPr>
        <w:t xml:space="preserve">„Obec může obecně závaznou vyhláškou stanovit, že bingo, technická hra nebo živá hra může být provozována pouze na místech a v čase určených obecně závaznou vyhláškou, nebo stanovit, na kterých místech a v jakém čase je v obci provozování těchto hazardních her zakázáno, anebo provozování uvedených hazardních her na celém území obce úplně zakázat.“ </w:t>
      </w:r>
    </w:p>
    <w:p w:rsidR="00542D98" w:rsidRDefault="00542D98" w:rsidP="00542D98">
      <w:pPr>
        <w:pStyle w:val="Odstavecseseznamem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ust. § 62 téhož zákona </w:t>
      </w:r>
      <w:r w:rsidR="0090706F">
        <w:rPr>
          <w:rFonts w:ascii="Times New Roman" w:hAnsi="Times New Roman" w:cs="Times New Roman"/>
          <w:sz w:val="24"/>
          <w:szCs w:val="24"/>
        </w:rPr>
        <w:t>bude ukládat</w:t>
      </w:r>
      <w:r>
        <w:rPr>
          <w:rFonts w:ascii="Times New Roman" w:hAnsi="Times New Roman" w:cs="Times New Roman"/>
          <w:sz w:val="24"/>
          <w:szCs w:val="24"/>
        </w:rPr>
        <w:t xml:space="preserve"> provozovateli herny a kasina povinnost monitorovat příslušné zařízení a uchovávat záznam</w:t>
      </w:r>
      <w:r w:rsidR="0090706F">
        <w:rPr>
          <w:rFonts w:ascii="Times New Roman" w:hAnsi="Times New Roman" w:cs="Times New Roman"/>
          <w:sz w:val="24"/>
          <w:szCs w:val="24"/>
        </w:rPr>
        <w:t xml:space="preserve"> vč. záloh po dobu jednoho roku.</w:t>
      </w:r>
    </w:p>
    <w:p w:rsidR="00B8761F" w:rsidRDefault="00B8761F" w:rsidP="00B8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F" w:rsidRDefault="00B8761F" w:rsidP="00B8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F" w:rsidRPr="00B8761F" w:rsidRDefault="00B8761F" w:rsidP="00B876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61F">
        <w:rPr>
          <w:rFonts w:ascii="Times New Roman" w:hAnsi="Times New Roman" w:cs="Times New Roman"/>
          <w:sz w:val="20"/>
          <w:szCs w:val="20"/>
        </w:rPr>
        <w:t>Zapsala: Mgr. Lucie Mildorfová, vedoucí OKS</w:t>
      </w:r>
    </w:p>
    <w:p w:rsidR="00060E6B" w:rsidRPr="00A352AA" w:rsidRDefault="00A352AA" w:rsidP="00E46075">
      <w:pPr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A352AA">
        <w:rPr>
          <w:rFonts w:ascii="Times New Roman" w:hAnsi="Times New Roman" w:cs="Times New Roman"/>
          <w:sz w:val="20"/>
          <w:szCs w:val="20"/>
        </w:rPr>
        <w:t>Dne. 10.02.2015</w:t>
      </w:r>
    </w:p>
    <w:sectPr w:rsidR="00060E6B" w:rsidRPr="00A352AA" w:rsidSect="00CE529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185B14" w15:done="0"/>
  <w15:commentEx w15:paraId="793EF0E1" w15:done="0"/>
  <w15:commentEx w15:paraId="7EABE311" w15:done="0"/>
  <w15:commentEx w15:paraId="233302C8" w15:done="0"/>
  <w15:commentEx w15:paraId="76FE7304" w15:done="0"/>
  <w15:commentEx w15:paraId="1A8F61C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19E" w:rsidRDefault="00A1619E" w:rsidP="00347B25">
      <w:pPr>
        <w:spacing w:after="0" w:line="240" w:lineRule="auto"/>
      </w:pPr>
      <w:r>
        <w:separator/>
      </w:r>
    </w:p>
  </w:endnote>
  <w:endnote w:type="continuationSeparator" w:id="1">
    <w:p w:rsidR="00A1619E" w:rsidRDefault="00A1619E" w:rsidP="0034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917"/>
      <w:docPartObj>
        <w:docPartGallery w:val="Page Numbers (Bottom of Page)"/>
        <w:docPartUnique/>
      </w:docPartObj>
    </w:sdtPr>
    <w:sdtContent>
      <w:p w:rsidR="002D3A6E" w:rsidRDefault="00950D81">
        <w:pPr>
          <w:pStyle w:val="Zpat"/>
        </w:pPr>
        <w:r w:rsidRPr="00950D81">
          <w:rPr>
            <w:rFonts w:asciiTheme="majorHAnsi" w:hAnsiTheme="majorHAns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4097" type="#_x0000_t176" style="position:absolute;margin-left:0;margin-top:0;width:40.35pt;height:34.75pt;z-index:251660288;visibility:visible;mso-position-horizontal:center;mso-position-horizontal-relative:lef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aD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L2rRoPlAgAASAYAAA4AAAAAAAAA&#10;AAAAAAAALgIAAGRycy9lMm9Eb2MueG1sUEsBAi0AFAAGAAgAAAAhAOhQmz7dAAAAAwEAAA8AAAAA&#10;AAAAAAAAAAAAPwUAAGRycy9kb3ducmV2LnhtbFBLBQYAAAAABAAEAPMAAABJBgAAAAA=&#10;" filled="f" fillcolor="#4f81bd [3204]" stroked="f" strokecolor="#737373 [1789]">
              <v:textbox>
                <w:txbxContent>
                  <w:p w:rsidR="002D3A6E" w:rsidRDefault="00950D81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950D81">
                      <w:fldChar w:fldCharType="begin"/>
                    </w:r>
                    <w:r w:rsidR="009522D0">
                      <w:instrText xml:space="preserve"> PAGE    \* MERGEFORMAT </w:instrText>
                    </w:r>
                    <w:r w:rsidRPr="00950D81">
                      <w:fldChar w:fldCharType="separate"/>
                    </w:r>
                    <w:r w:rsidR="006B4F3B" w:rsidRPr="006B4F3B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19E" w:rsidRDefault="00A1619E" w:rsidP="00347B25">
      <w:pPr>
        <w:spacing w:after="0" w:line="240" w:lineRule="auto"/>
      </w:pPr>
      <w:r>
        <w:separator/>
      </w:r>
    </w:p>
  </w:footnote>
  <w:footnote w:type="continuationSeparator" w:id="1">
    <w:p w:rsidR="00A1619E" w:rsidRDefault="00A1619E" w:rsidP="0034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1D8C"/>
    <w:multiLevelType w:val="hybridMultilevel"/>
    <w:tmpl w:val="7A1610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56A"/>
    <w:multiLevelType w:val="hybridMultilevel"/>
    <w:tmpl w:val="2D7402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7884"/>
    <w:multiLevelType w:val="hybridMultilevel"/>
    <w:tmpl w:val="EC644F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068DB"/>
    <w:multiLevelType w:val="hybridMultilevel"/>
    <w:tmpl w:val="E12E42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F534E"/>
    <w:multiLevelType w:val="hybridMultilevel"/>
    <w:tmpl w:val="37566AD2"/>
    <w:lvl w:ilvl="0" w:tplc="0405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57703CB8"/>
    <w:multiLevelType w:val="hybridMultilevel"/>
    <w:tmpl w:val="3B16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1154E1"/>
    <w:multiLevelType w:val="hybridMultilevel"/>
    <w:tmpl w:val="DED2D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5561F"/>
    <w:multiLevelType w:val="hybridMultilevel"/>
    <w:tmpl w:val="5D166F2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DD391F"/>
    <w:multiLevelType w:val="hybridMultilevel"/>
    <w:tmpl w:val="5FBAF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66BC5"/>
    <w:multiLevelType w:val="hybridMultilevel"/>
    <w:tmpl w:val="89585A54"/>
    <w:lvl w:ilvl="0" w:tplc="0405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6EAB74A8"/>
    <w:multiLevelType w:val="hybridMultilevel"/>
    <w:tmpl w:val="501491B6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8A3B39"/>
    <w:multiLevelType w:val="hybridMultilevel"/>
    <w:tmpl w:val="7AACBB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indelář Petr Mgr. - TŠ&amp;P">
    <w15:presenceInfo w15:providerId="AD" w15:userId="S-1-5-21-1121805059-2817589540-703721780-11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7F43"/>
    <w:rsid w:val="00041955"/>
    <w:rsid w:val="00060E6B"/>
    <w:rsid w:val="0009564D"/>
    <w:rsid w:val="001D0E42"/>
    <w:rsid w:val="001E09F8"/>
    <w:rsid w:val="0029215B"/>
    <w:rsid w:val="00296E25"/>
    <w:rsid w:val="002B707C"/>
    <w:rsid w:val="002D3A6E"/>
    <w:rsid w:val="003221F4"/>
    <w:rsid w:val="00347B25"/>
    <w:rsid w:val="004A1A5A"/>
    <w:rsid w:val="004B7700"/>
    <w:rsid w:val="00512CA9"/>
    <w:rsid w:val="0052232D"/>
    <w:rsid w:val="00541349"/>
    <w:rsid w:val="00542D98"/>
    <w:rsid w:val="005E6E03"/>
    <w:rsid w:val="0063353B"/>
    <w:rsid w:val="00640AA1"/>
    <w:rsid w:val="00675E34"/>
    <w:rsid w:val="006A3017"/>
    <w:rsid w:val="006B4F3B"/>
    <w:rsid w:val="00737F43"/>
    <w:rsid w:val="00767392"/>
    <w:rsid w:val="00776037"/>
    <w:rsid w:val="00786AE5"/>
    <w:rsid w:val="007D0CB7"/>
    <w:rsid w:val="008A7684"/>
    <w:rsid w:val="0090706F"/>
    <w:rsid w:val="00950D81"/>
    <w:rsid w:val="009522D0"/>
    <w:rsid w:val="00963856"/>
    <w:rsid w:val="00977034"/>
    <w:rsid w:val="0099488C"/>
    <w:rsid w:val="00A1619E"/>
    <w:rsid w:val="00A352AA"/>
    <w:rsid w:val="00A93EE4"/>
    <w:rsid w:val="00B37424"/>
    <w:rsid w:val="00B8761F"/>
    <w:rsid w:val="00BD0D40"/>
    <w:rsid w:val="00C4741B"/>
    <w:rsid w:val="00CE5299"/>
    <w:rsid w:val="00D17B25"/>
    <w:rsid w:val="00D50596"/>
    <w:rsid w:val="00DF5BAD"/>
    <w:rsid w:val="00E46075"/>
    <w:rsid w:val="00F04164"/>
    <w:rsid w:val="00FC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2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34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7B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7B2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74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5BA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D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A6E"/>
  </w:style>
  <w:style w:type="paragraph" w:styleId="Zpat">
    <w:name w:val="footer"/>
    <w:basedOn w:val="Normln"/>
    <w:link w:val="ZpatChar"/>
    <w:uiPriority w:val="99"/>
    <w:unhideWhenUsed/>
    <w:rsid w:val="002D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A6E"/>
  </w:style>
  <w:style w:type="paragraph" w:customStyle="1" w:styleId="paragraf">
    <w:name w:val="paragraf"/>
    <w:basedOn w:val="Normln"/>
    <w:next w:val="odstavec"/>
    <w:rsid w:val="00542D98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odstavec">
    <w:name w:val="odstavec"/>
    <w:basedOn w:val="Normln"/>
    <w:rsid w:val="00542D98"/>
    <w:pPr>
      <w:spacing w:before="120" w:after="0" w:line="240" w:lineRule="auto"/>
      <w:ind w:firstLine="482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tituleknadpisu">
    <w:name w:val="titulek nadpisu"/>
    <w:rsid w:val="00542D98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BD0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0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D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r.cz/cs/soukromy-sektor/monitoring/vysledky-z-provozovani-oterii/2013/hodnoceni-vysledku-provozovani-loterii-184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URAD\NS1\ODBORY\Odbor32\07%20Da&#328;%20z%20hazardn&#237;ch%20her\02%20Da&#328;%20z%20hazardn&#237;ch%20her\01%20P&#345;&#237;prava\02%20Obecn&#225;%20&#269;&#225;st%20DZ\W03%20Struktura%20trhu%20hazardn&#237;ch%20he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URAD\NS1\ODBORY\Odbor32\07%20Da&#328;%20z%20hazardn&#237;ch%20her\02%20Da&#328;%20z%20hazardn&#237;ch%20her\01%20P&#345;&#237;prava\02%20Obecn&#225;%20&#269;&#225;st%20DZ\W03%20Struktura%20trhu%20hazardn&#237;ch%20her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URAD\NS1\ODBORY\Odbor32\07%20Da&#328;%20z%20hazardn&#237;ch%20her\02%20Da&#328;%20z%20hazardn&#237;ch%20her\01%20P&#345;&#237;prava\02%20Obecn&#225;%20&#269;&#225;st%20DZ\W03%20Struktura%20trhu%20hazardn&#237;ch%20her.xls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Podíl vložených prostředků v</a:t>
            </a:r>
            <a:r>
              <a:rPr lang="cs-CZ" baseline="0"/>
              <a:t> roce 2013</a:t>
            </a:r>
          </a:p>
        </c:rich>
      </c:tx>
      <c:spPr>
        <a:gradFill flip="none" rotWithShape="1">
          <a:gsLst>
            <a:gs pos="0">
              <a:schemeClr val="tx2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1"/>
          <a:tileRect/>
        </a:gradFill>
      </c:spPr>
    </c:title>
    <c:view3D>
      <c:rotX val="70"/>
      <c:rotY val="60"/>
      <c:perspective val="30"/>
    </c:view3D>
    <c:plotArea>
      <c:layout/>
      <c:pie3D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1"/>
              <c:layout>
                <c:manualLayout>
                  <c:x val="5.6321322820793843E-2"/>
                  <c:y val="-1.040845597838275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bestFit"/>
              <c:showVal val="1"/>
              <c:showCatNam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6305311646423947E-2"/>
                  <c:y val="7.480346357170443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bestFit"/>
              <c:showVal val="1"/>
              <c:showCatNam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6512342586277292E-2"/>
                  <c:y val="-0.24581640564623547"/>
                </c:manualLayout>
              </c:layout>
              <c:showVal val="1"/>
              <c:showCatNam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115227836957156E-2"/>
                  <c:y val="7.574891271156736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bestFit"/>
              <c:showVal val="1"/>
              <c:showCatNam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470129196569281E-2"/>
                  <c:y val="9.047051348862444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bestFit"/>
              <c:showVal val="1"/>
              <c:showCatNam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2032149926511966E-2"/>
                  <c:y val="1.43224260720221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bestFit"/>
              <c:showVal val="1"/>
              <c:showCatNam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CatName val="1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'Tabulka nové základy'!$A$5:$A$11</c:f>
              <c:strCache>
                <c:ptCount val="7"/>
                <c:pt idx="0">
                  <c:v>Loterie</c:v>
                </c:pt>
                <c:pt idx="1">
                  <c:v>Kursové sázky</c:v>
                </c:pt>
                <c:pt idx="2">
                  <c:v>Bingo</c:v>
                </c:pt>
                <c:pt idx="3">
                  <c:v>Technické hry</c:v>
                </c:pt>
                <c:pt idx="4">
                  <c:v>Živé hry</c:v>
                </c:pt>
                <c:pt idx="5">
                  <c:v>Internetové hry</c:v>
                </c:pt>
                <c:pt idx="6">
                  <c:v>Tomboly</c:v>
                </c:pt>
              </c:strCache>
            </c:strRef>
          </c:cat>
          <c:val>
            <c:numRef>
              <c:f>'Tabulka nové základy'!$C$5:$C$11</c:f>
              <c:numCache>
                <c:formatCode>0.00%</c:formatCode>
                <c:ptCount val="7"/>
                <c:pt idx="0">
                  <c:v>6.6868057236993891E-2</c:v>
                </c:pt>
                <c:pt idx="1">
                  <c:v>5.327612934213645E-2</c:v>
                </c:pt>
                <c:pt idx="2">
                  <c:v>2.3112648319898279E-4</c:v>
                </c:pt>
                <c:pt idx="3">
                  <c:v>0.63273589073294967</c:v>
                </c:pt>
                <c:pt idx="4">
                  <c:v>6.5569590393233429E-2</c:v>
                </c:pt>
                <c:pt idx="5">
                  <c:v>0.18127930377102652</c:v>
                </c:pt>
                <c:pt idx="6">
                  <c:v>3.9902040462818539E-5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effectLst>
      <a:glow rad="63500"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 prstMaterial="matte">
      <a:bevelT/>
    </a:sp3d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Čisté příjmy ze hry</a:t>
            </a:r>
            <a:endParaRPr lang="en-US"/>
          </a:p>
        </c:rich>
      </c:tx>
      <c:spPr>
        <a:gradFill flip="none" rotWithShape="1">
          <a:gsLst>
            <a:gs pos="0">
              <a:schemeClr val="tx2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1"/>
          <a:tileRect/>
        </a:gradFill>
      </c:spPr>
    </c:title>
    <c:view3D>
      <c:rotX val="70"/>
      <c:rotY val="60"/>
      <c:perspective val="30"/>
    </c:view3D>
    <c:plotArea>
      <c:layout/>
      <c:pie3DChart>
        <c:varyColors val="1"/>
        <c:ser>
          <c:idx val="0"/>
          <c:order val="0"/>
          <c:tx>
            <c:strRef>
              <c:f>'Tabulka nové základy'!$F$5:$F$11</c:f>
              <c:strCache>
                <c:ptCount val="1"/>
                <c:pt idx="0">
                  <c:v>13,50% 5,53% 0,03% 67,01% 5,20% 8,72% 0,01%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1"/>
              <c:layout>
                <c:manualLayout>
                  <c:x val="5.6321322820793732E-2"/>
                  <c:y val="-1.040845597838272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bestFit"/>
              <c:showVal val="1"/>
              <c:showCatNam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6305311646423947E-2"/>
                  <c:y val="7.480346357170432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bestFit"/>
              <c:showVal val="1"/>
              <c:showCatNam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773057017589279E-2"/>
                  <c:y val="-1.237382026133972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bestFit"/>
              <c:showVal val="1"/>
              <c:showCatNam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0384797845805061E-2"/>
                  <c:y val="5.420787902463401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bestFit"/>
              <c:showVal val="1"/>
              <c:showCatNam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2032149926511938E-2"/>
                  <c:y val="1.432242607202213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bestFit"/>
              <c:showVal val="1"/>
              <c:showCatName val="1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CatName val="1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'Tabulka nové základy'!$A$5:$A$11</c:f>
              <c:strCache>
                <c:ptCount val="7"/>
                <c:pt idx="0">
                  <c:v>Loterie</c:v>
                </c:pt>
                <c:pt idx="1">
                  <c:v>Kursové sázky</c:v>
                </c:pt>
                <c:pt idx="2">
                  <c:v>Bingo</c:v>
                </c:pt>
                <c:pt idx="3">
                  <c:v>Technické hry</c:v>
                </c:pt>
                <c:pt idx="4">
                  <c:v>Živé hry</c:v>
                </c:pt>
                <c:pt idx="5">
                  <c:v>Internetové hry</c:v>
                </c:pt>
                <c:pt idx="6">
                  <c:v>Tomboly</c:v>
                </c:pt>
              </c:strCache>
            </c:strRef>
          </c:cat>
          <c:val>
            <c:numRef>
              <c:f>'Tabulka nové základy'!$F$5:$F$11</c:f>
              <c:numCache>
                <c:formatCode>0.00%</c:formatCode>
                <c:ptCount val="7"/>
                <c:pt idx="0">
                  <c:v>0.13499783951956423</c:v>
                </c:pt>
                <c:pt idx="1">
                  <c:v>5.5338613565299802E-2</c:v>
                </c:pt>
                <c:pt idx="2">
                  <c:v>3.0065919873279964E-4</c:v>
                </c:pt>
                <c:pt idx="3">
                  <c:v>0.67005815598467611</c:v>
                </c:pt>
                <c:pt idx="4">
                  <c:v>5.1995764454756926E-2</c:v>
                </c:pt>
                <c:pt idx="5">
                  <c:v>8.7219394968494207E-2</c:v>
                </c:pt>
                <c:pt idx="6">
                  <c:v>8.9572308478902093E-5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effectLst>
      <a:glow rad="63500"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 prstMaterial="matte">
      <a:bevelT/>
    </a:sp3d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0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Ziskovost jednotlivých skupin</a:t>
            </a:r>
          </a:p>
        </c:rich>
      </c:tx>
      <c:spPr>
        <a:gradFill>
          <a:gsLst>
            <a:gs pos="0">
              <a:schemeClr val="tx2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1"/>
        </a:gradFill>
      </c:spPr>
    </c:title>
    <c:view3D>
      <c:depthPercent val="100"/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'Tabulka nové základy'!$A$5:$A$11</c:f>
              <c:strCache>
                <c:ptCount val="1"/>
                <c:pt idx="0">
                  <c:v>Loterie Kursové sázky Bingo Technické hry Živé hry Internetové hry Tomboly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'Tabulka nové základy'!$A$5:$A$11</c:f>
              <c:strCache>
                <c:ptCount val="7"/>
                <c:pt idx="0">
                  <c:v>Loterie</c:v>
                </c:pt>
                <c:pt idx="1">
                  <c:v>Kursové sázky</c:v>
                </c:pt>
                <c:pt idx="2">
                  <c:v>Bingo</c:v>
                </c:pt>
                <c:pt idx="3">
                  <c:v>Technické hry</c:v>
                </c:pt>
                <c:pt idx="4">
                  <c:v>Živé hry</c:v>
                </c:pt>
                <c:pt idx="5">
                  <c:v>Internetové hry</c:v>
                </c:pt>
                <c:pt idx="6">
                  <c:v>Tomboly</c:v>
                </c:pt>
              </c:strCache>
            </c:strRef>
          </c:cat>
          <c:val>
            <c:numRef>
              <c:f>'Tabulka nové základy'!$G$5:$G$11</c:f>
              <c:numCache>
                <c:formatCode>0.00%</c:formatCode>
                <c:ptCount val="7"/>
                <c:pt idx="0">
                  <c:v>0.46559100655776625</c:v>
                </c:pt>
                <c:pt idx="1">
                  <c:v>0.23954774106644883</c:v>
                </c:pt>
                <c:pt idx="2">
                  <c:v>0.30000000000000032</c:v>
                </c:pt>
                <c:pt idx="3">
                  <c:v>0.24422296431599541</c:v>
                </c:pt>
                <c:pt idx="4">
                  <c:v>0.1828782120837609</c:v>
                </c:pt>
                <c:pt idx="5">
                  <c:v>0.11095868861281173</c:v>
                </c:pt>
                <c:pt idx="6">
                  <c:v>0.51769638523412653</c:v>
                </c:pt>
              </c:numCache>
            </c:numRef>
          </c:val>
        </c:ser>
        <c:shape val="cylinder"/>
        <c:axId val="123668736"/>
        <c:axId val="123703296"/>
        <c:axId val="0"/>
      </c:bar3DChart>
      <c:catAx>
        <c:axId val="123668736"/>
        <c:scaling>
          <c:orientation val="minMax"/>
        </c:scaling>
        <c:axPos val="l"/>
        <c:numFmt formatCode="General" sourceLinked="1"/>
        <c:tickLblPos val="nextTo"/>
        <c:crossAx val="123703296"/>
        <c:crosses val="autoZero"/>
        <c:auto val="1"/>
        <c:lblAlgn val="ctr"/>
        <c:lblOffset val="100"/>
      </c:catAx>
      <c:valAx>
        <c:axId val="123703296"/>
        <c:scaling>
          <c:orientation val="minMax"/>
        </c:scaling>
        <c:axPos val="b"/>
        <c:majorGridlines/>
        <c:numFmt formatCode="0%" sourceLinked="0"/>
        <c:tickLblPos val="nextTo"/>
        <c:crossAx val="1236687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cene3d>
      <a:camera prst="orthographicFront"/>
      <a:lightRig rig="threePt" dir="t"/>
    </a:scene3d>
    <a:sp3d prstMaterial="matte">
      <a:bevelT/>
    </a:sp3d>
  </c:spPr>
  <c:externalData r:id="rId2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038CE-AE19-48AC-BFCE-8CBA4757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1250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Ostrov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</dc:creator>
  <cp:lastModifiedBy>Mgr. Lucie Mildorfová</cp:lastModifiedBy>
  <cp:revision>10</cp:revision>
  <dcterms:created xsi:type="dcterms:W3CDTF">2015-02-12T06:02:00Z</dcterms:created>
  <dcterms:modified xsi:type="dcterms:W3CDTF">2015-02-13T07:18:00Z</dcterms:modified>
</cp:coreProperties>
</file>